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x8bhrxm49k5b" w:id="0"/>
      <w:bookmarkEnd w:id="0"/>
      <w:r w:rsidDel="00000000" w:rsidR="00000000" w:rsidRPr="00000000">
        <w:rPr>
          <w:rFonts w:ascii="Arial" w:cs="Arial" w:eastAsia="Arial" w:hAnsi="Arial"/>
          <w:b w:val="1"/>
          <w:color w:val="000000"/>
          <w:sz w:val="24"/>
          <w:szCs w:val="24"/>
          <w:rtl w:val="0"/>
        </w:rPr>
        <w:t xml:space="preserve">Indicative Framework Prices in Annex 1</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Suppliers are requested to complete the pricing scenarios described in Annex 1 in their Framework Tender Response in accordance with the further guidance below.  The version of Annex 1 submitted by Suppliers as part of their Framework Tender Response will form Annex 1 to this Framework Schedule 3 (</w:t>
      </w:r>
      <w:r w:rsidDel="00000000" w:rsidR="00000000" w:rsidRPr="00000000">
        <w:rPr>
          <w:rFonts w:ascii="Arial" w:cs="Arial" w:eastAsia="Arial" w:hAnsi="Arial"/>
          <w:i w:val="1"/>
          <w:color w:val="000000"/>
          <w:sz w:val="24"/>
          <w:szCs w:val="24"/>
          <w:rtl w:val="0"/>
        </w:rPr>
        <w:t xml:space="preserve">Framework Prices</w:t>
      </w:r>
      <w:r w:rsidDel="00000000" w:rsidR="00000000" w:rsidRPr="00000000">
        <w:rPr>
          <w:rFonts w:ascii="Arial" w:cs="Arial" w:eastAsia="Arial" w:hAnsi="Arial"/>
          <w:color w:val="000000"/>
          <w:sz w:val="24"/>
          <w:szCs w:val="24"/>
          <w:rtl w:val="0"/>
        </w:rPr>
        <w:t xml:space="preserve">) and the prices in Annex 1 will constitute the Framework Prices for the purposes of this Framework Contract.</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heading=h.xj7ia6tsp1f3" w:id="1"/>
      <w:bookmarkEnd w:id="1"/>
      <w:r w:rsidDel="00000000" w:rsidR="00000000" w:rsidRPr="00000000">
        <w:rPr>
          <w:rFonts w:ascii="Arial" w:cs="Arial" w:eastAsia="Arial" w:hAnsi="Arial"/>
          <w:color w:val="000000"/>
          <w:sz w:val="24"/>
          <w:szCs w:val="24"/>
          <w:rtl w:val="0"/>
        </w:rPr>
        <w:t xml:space="preserve">The hypothetical Call-Off Contract scenarios detailed in Annex 1 show examples of Call-Off Contracts that may be tendered for under the Call-Off Procedure under this Framework Contract. </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Each scenario includes differences in parameters such as the Buyer's Expected Annual Production and Contract Period, as detailed in Annex 1. For each scenario you are required to provide a final £/MWh as set out in the table in Annex 1. </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All scenarios are on the basis of a pay as produced PPA although other structures may be requested by Buyers at Call-Off.</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As in a potential Call-Off Contract, the scenarios only specify location as far as a country's geographical area.  </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Given that location has a material impact on the price, when pricing scenarios Suppliers are also asked to specify which county their submission refers to.</w:t>
      </w: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In the "Any Further Detail" section of the table, Suppliers are encouraged to provide any further detail to explain variances in price across scenarios, and a brief explanation of their approach to pricing. This does not need to be detailed 'working' but is an opportunity for Suppliers to provide indicative information.</w:t>
        <w:tab/>
        <w:tab/>
        <w:tab/>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b w:val="1"/>
        </w:rPr>
      </w:pPr>
      <w:r w:rsidDel="00000000" w:rsidR="00000000" w:rsidRPr="00000000">
        <w:rPr>
          <w:rFonts w:ascii="Arial" w:cs="Arial" w:eastAsia="Arial" w:hAnsi="Arial"/>
          <w:b w:val="1"/>
          <w:color w:val="000000"/>
          <w:sz w:val="24"/>
          <w:szCs w:val="24"/>
          <w:rtl w:val="0"/>
        </w:rPr>
        <w:t xml:space="preserve">Distinction between Framework Prices and Charges under Call-Off Contracts </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are indicative only and are intended to enable CCS and Buyers to understand the market and likely price ranges for Call-Off Contracts; and</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are not binding, but Suppliers may be required to explain any material deviation between Charges tendered in a Call-Off Procedure and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Charges:</w:t>
      </w:r>
      <w:r w:rsidDel="00000000" w:rsidR="00000000" w:rsidRPr="00000000">
        <w:rPr>
          <w:rtl w:val="0"/>
        </w:rPr>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 in particular shall only be subject to Indexation where specifically stated in the Order Form; and</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 </w:t>
      </w: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hzq33kk1uh0k" w:id="2"/>
      <w:bookmarkEnd w:id="2"/>
      <w:r w:rsidDel="00000000" w:rsidR="00000000" w:rsidRPr="00000000">
        <w:rPr>
          <w:rFonts w:ascii="Arial" w:cs="Arial" w:eastAsia="Arial" w:hAnsi="Arial"/>
          <w:b w:val="1"/>
          <w:color w:val="000000"/>
          <w:sz w:val="24"/>
          <w:szCs w:val="24"/>
          <w:rtl w:val="0"/>
        </w:rPr>
        <w:t xml:space="preserve">Events that allow the Supplier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can be varied (and Annex 1 will be updated accordingly) due to:</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and</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the Framework Prices are linked to inflation </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Where the Framework Charges are stated to be "subject to Indexation" they shall be adjusted in line with changes in the Contract Index.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heading=h.k5xw5uxqkl35" w:id="3"/>
      <w:bookmarkEnd w:id="3"/>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one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 year after the Framework Start Date to reflect the percentage change in the Contract Index since the Framework Start Date.  They shall be indexed on each following yearly anniversary to reflect the percentage change in the Contract Index since the previous change.</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Where the Contract Index:</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CCS and the Supplier agree otherwise; </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bookmarkStart w:colFirst="0" w:colLast="0" w:name="_heading=h.bruafkdkbgwt" w:id="4"/>
      <w:bookmarkEnd w:id="4"/>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b w:val="1"/>
          <w:sz w:val="36"/>
          <w:szCs w:val="36"/>
        </w:rPr>
      </w:pPr>
      <w:bookmarkStart w:colFirst="0" w:colLast="0" w:name="_heading=h.69p0kgi4lxqg"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Framework Pricing Scenarios </w:t>
      </w:r>
    </w:p>
    <w:p w:rsidR="00000000" w:rsidDel="00000000" w:rsidP="00000000" w:rsidRDefault="00000000" w:rsidRPr="00000000" w14:paraId="00000020">
      <w:pPr>
        <w:ind w:left="0" w:firstLine="0"/>
        <w:rPr>
          <w:rFonts w:ascii="Arial" w:cs="Arial" w:eastAsia="Arial" w:hAnsi="Arial"/>
          <w:sz w:val="24"/>
          <w:szCs w:val="24"/>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2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line="240" w:lineRule="auto"/>
        <w:ind w:left="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Please see embedded folder within the Framework Contract Documents folder</w:t>
      </w:r>
      <w:r w:rsidDel="00000000" w:rsidR="00000000" w:rsidRPr="00000000">
        <w:rPr>
          <w:rFonts w:ascii="Arial" w:cs="Arial" w:eastAsia="Arial" w:hAnsi="Arial"/>
          <w:sz w:val="24"/>
          <w:szCs w:val="24"/>
          <w:rtl w:val="0"/>
        </w:rPr>
        <w:t xml:space="preserve">.</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QDP3pdKZN8AZ73AOYRRon31I9A==">CgMxLjAyDmgueDhiaHJ4bTQ5azViMg5oLnhqN2lhNnRzcDFmMzIOaC5oenEzM2trMXVoMGsyDmguazV4dzV1eHFrbDM1Mg5oLmJydWFma2RrYmd3dDIOaC42OXAwa2dpNGx4cWc4AHIhMU1qS0ZTTXZuT1VmZ2hFT0R5WHlCdGJZWUhwNGV6Um0y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#109517335v4&lt;L_LIVE_EMEA1&gt; - PPA v3.0 (Framework Schedule 3 - Framework Prices v.3.1)</vt:lpwstr>
  </property>
</Properties>
</file>